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246CF" w:rsidRDefault="00BB55BB">
      <w:pPr>
        <w:pStyle w:val="a5"/>
        <w:jc w:val="center"/>
        <w:rPr>
          <w:rFonts w:hint="eastAsia"/>
        </w:rPr>
      </w:pPr>
      <w:r>
        <w:fldChar w:fldCharType="begin"/>
      </w:r>
      <w:r>
        <w:instrText xml:space="preserve"> PAGE </w:instrText>
      </w:r>
      <w:r>
        <w:rPr>
          <w:rFonts w:hint="eastAsia"/>
        </w:rPr>
        <w:fldChar w:fldCharType="separate"/>
      </w:r>
      <w:r>
        <w:t>1</w:t>
      </w:r>
      <w:r>
        <w:fldChar w:fldCharType="end"/>
      </w:r>
    </w:p>
    <w:p w:rsidR="005246CF" w:rsidRDefault="00BB55BB">
      <w:pPr>
        <w:pStyle w:val="a5"/>
        <w:jc w:val="right"/>
        <w:rPr>
          <w:rFonts w:hint="eastAsia"/>
        </w:rPr>
      </w:pPr>
      <w:r>
        <w:t>Выступление председателя КСП Жирновского муниципального района</w:t>
      </w:r>
    </w:p>
    <w:p w:rsidR="005246CF" w:rsidRDefault="00BB55BB">
      <w:pPr>
        <w:pStyle w:val="a5"/>
        <w:jc w:val="right"/>
        <w:rPr>
          <w:rFonts w:hint="eastAsia"/>
        </w:rPr>
      </w:pPr>
      <w:r>
        <w:t>Волгоградской области Журбиной С.Н.</w:t>
      </w:r>
    </w:p>
    <w:p w:rsidR="005246CF" w:rsidRDefault="00BB55BB">
      <w:pPr>
        <w:pStyle w:val="a5"/>
        <w:jc w:val="right"/>
        <w:rPr>
          <w:rFonts w:hint="eastAsia"/>
        </w:rPr>
      </w:pPr>
      <w:r>
        <w:t>на круглом столе №2</w:t>
      </w:r>
    </w:p>
    <w:p w:rsidR="005246CF" w:rsidRDefault="00BB55BB">
      <w:pPr>
        <w:pStyle w:val="a5"/>
        <w:jc w:val="right"/>
        <w:rPr>
          <w:rFonts w:hint="eastAsia"/>
        </w:rPr>
      </w:pPr>
      <w:r>
        <w:t xml:space="preserve">«Обмен опытом по актуальным вопросам деятельности </w:t>
      </w:r>
      <w:r>
        <w:t>контрольно-счетных органов»</w:t>
      </w:r>
    </w:p>
    <w:p w:rsidR="005246CF" w:rsidRDefault="00BB55BB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Практика контроля за реализацией регионального проекта «Формирование комфортной городской среды», принятого в рамках национального проекта «Жилье и городская среда», на муниципальном уровне (на примере практики КСП Жирновского м</w:t>
      </w:r>
      <w:r>
        <w:rPr>
          <w:rFonts w:ascii="Times New Roman" w:hAnsi="Times New Roman"/>
          <w:b/>
          <w:bCs/>
          <w:sz w:val="28"/>
          <w:szCs w:val="28"/>
        </w:rPr>
        <w:t>униципального района Волгоградской области)</w:t>
      </w:r>
    </w:p>
    <w:p w:rsidR="005246CF" w:rsidRDefault="005246CF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5246CF" w:rsidRDefault="00BB55BB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время, одним из главных приоритетов развития территорий муниципальных образований является создание благоприятной для проживания населения и ведения экономической деятельности городской среды. Создан</w:t>
      </w:r>
      <w:r>
        <w:rPr>
          <w:rFonts w:ascii="Times New Roman" w:hAnsi="Times New Roman"/>
          <w:sz w:val="28"/>
          <w:szCs w:val="28"/>
        </w:rPr>
        <w:t xml:space="preserve">ие внешнего облика территории </w:t>
      </w:r>
      <w:r>
        <w:rPr>
          <w:rFonts w:ascii="Times New Roman" w:hAnsi="Times New Roman"/>
          <w:color w:val="000000"/>
          <w:sz w:val="28"/>
          <w:szCs w:val="28"/>
        </w:rPr>
        <w:t>входит в ряд основных проблем, которую приходится решать органам местного самоуправления.</w:t>
      </w:r>
    </w:p>
    <w:p w:rsidR="005246CF" w:rsidRDefault="00BB55BB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благоустройства территорий муниципальных образований определяет комфортность проживания граждан, является одним из вопросов, тр</w:t>
      </w:r>
      <w:r>
        <w:rPr>
          <w:rFonts w:ascii="Times New Roman" w:hAnsi="Times New Roman"/>
          <w:sz w:val="28"/>
          <w:szCs w:val="28"/>
        </w:rPr>
        <w:t>ебующих каждодневного внимания, эффективного решения и выполнения комплекса мероприятий по инженерной подготовке и обеспечению безопасности, озеленению и устройству покрытий, освещению, размещению малых архитектурных форм, объектов монументального искусств</w:t>
      </w:r>
      <w:r>
        <w:rPr>
          <w:rFonts w:ascii="Times New Roman" w:hAnsi="Times New Roman"/>
          <w:sz w:val="28"/>
          <w:szCs w:val="28"/>
        </w:rPr>
        <w:t>а.</w:t>
      </w:r>
    </w:p>
    <w:p w:rsidR="005246CF" w:rsidRDefault="00BB55BB">
      <w:pPr>
        <w:pStyle w:val="Standard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Чтобы достичь условий комфортной среды для проживания и деятельности населения необходимо прежде всего учитывать социальные процессы, которые происходят на данной территории.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актуальность и важность данной темы хотелось бы поделиться своим опыт</w:t>
      </w:r>
      <w:r>
        <w:rPr>
          <w:rFonts w:ascii="Times New Roman" w:hAnsi="Times New Roman"/>
          <w:sz w:val="28"/>
          <w:szCs w:val="28"/>
        </w:rPr>
        <w:t>ом, а также узнать что-то новое и интересное при обсуждении данного вопроса от коллег.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(Слайд 2) </w:t>
      </w:r>
      <w:r>
        <w:rPr>
          <w:rFonts w:ascii="Times New Roman" w:hAnsi="Times New Roman"/>
          <w:sz w:val="28"/>
          <w:szCs w:val="28"/>
        </w:rPr>
        <w:t xml:space="preserve">Национальный проект «Жилье и городская среда» действует с 2018 года и включает в свою структуру федеральный проект «Формирование комфортной городской </w:t>
      </w:r>
      <w:r>
        <w:rPr>
          <w:rFonts w:ascii="Times New Roman" w:hAnsi="Times New Roman"/>
          <w:sz w:val="28"/>
          <w:szCs w:val="28"/>
        </w:rPr>
        <w:t>среды».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регионального проекта Волгоградской области предусмотрена в рамках </w:t>
      </w:r>
      <w:r>
        <w:rPr>
          <w:rFonts w:ascii="Times New Roman" w:hAnsi="Times New Roman"/>
          <w:sz w:val="28"/>
          <w:szCs w:val="28"/>
        </w:rPr>
        <w:t>федерального проекта "Формирование комфортной городской среды" в составе государственной программы Российской Федерации "Обеспечение доступным и комфортным жильем и комму</w:t>
      </w:r>
      <w:r>
        <w:rPr>
          <w:rFonts w:ascii="Times New Roman" w:hAnsi="Times New Roman"/>
          <w:sz w:val="28"/>
          <w:szCs w:val="28"/>
        </w:rPr>
        <w:t>нальными услугами граждан Российской Федерации"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(Слайд 3) </w:t>
      </w:r>
      <w:r>
        <w:rPr>
          <w:rFonts w:ascii="Times New Roman" w:hAnsi="Times New Roman"/>
          <w:sz w:val="28"/>
          <w:szCs w:val="28"/>
        </w:rPr>
        <w:t xml:space="preserve">В целях реализации регионального проекта на территории Волгоградской области действует государственная программа «Формирование современной городской среды Волгоградской области», в соответствии с </w:t>
      </w:r>
      <w:r>
        <w:rPr>
          <w:rFonts w:ascii="Times New Roman" w:hAnsi="Times New Roman"/>
          <w:sz w:val="28"/>
          <w:szCs w:val="28"/>
        </w:rPr>
        <w:t xml:space="preserve">которой из областного бюджета предоставляются субсидии в целях </w:t>
      </w:r>
      <w:r>
        <w:rPr>
          <w:rFonts w:ascii="Times New Roman" w:hAnsi="Times New Roman"/>
          <w:sz w:val="28"/>
          <w:szCs w:val="28"/>
        </w:rPr>
        <w:t>софинансирования расходных обязательств муниципальных программ,  направленных на реализацию мероприятий по благоустройству территорий муниципальных образований.</w:t>
      </w:r>
    </w:p>
    <w:p w:rsidR="005246CF" w:rsidRDefault="00BB55BB">
      <w:pPr>
        <w:pStyle w:val="Textbodyindent"/>
        <w:ind w:firstLine="624"/>
        <w:jc w:val="both"/>
        <w:rPr>
          <w:rFonts w:ascii="Times New Roman" w:hAnsi="Times New Roman"/>
          <w:b/>
          <w:bCs/>
          <w:szCs w:val="24"/>
        </w:rPr>
      </w:pPr>
      <w:r>
        <w:rPr>
          <w:rStyle w:val="a6"/>
          <w:rFonts w:ascii="Times New Roman" w:hAnsi="Times New Roman"/>
          <w:color w:val="000000"/>
          <w:sz w:val="28"/>
          <w:szCs w:val="28"/>
        </w:rPr>
        <w:t>Субсидии предоставляются из бюдж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>ета Волгоградской области:</w:t>
      </w:r>
    </w:p>
    <w:p w:rsidR="005246CF" w:rsidRDefault="00BB55BB">
      <w:pPr>
        <w:pStyle w:val="Textbodyindent"/>
        <w:ind w:firstLine="624"/>
        <w:jc w:val="both"/>
        <w:rPr>
          <w:rFonts w:ascii="Times New Roman" w:hAnsi="Times New Roman"/>
          <w:b/>
          <w:bCs/>
          <w:szCs w:val="24"/>
        </w:rPr>
      </w:pPr>
      <w:r>
        <w:rPr>
          <w:rStyle w:val="a6"/>
          <w:rFonts w:ascii="Times New Roman" w:hAnsi="Times New Roman"/>
          <w:color w:val="000000"/>
          <w:sz w:val="28"/>
          <w:szCs w:val="28"/>
        </w:rPr>
        <w:t>- городским поселениям, за счет средств областного бюджета, в том числе источником финансового обеспечения которой является субсидия из федерального бюджета.</w:t>
      </w:r>
    </w:p>
    <w:p w:rsidR="005246CF" w:rsidRDefault="00BB55BB">
      <w:pPr>
        <w:pStyle w:val="Textbodyindent"/>
        <w:ind w:firstLine="624"/>
        <w:jc w:val="both"/>
        <w:rPr>
          <w:rFonts w:ascii="Times New Roman" w:hAnsi="Times New Roman"/>
          <w:b/>
          <w:bCs/>
          <w:szCs w:val="24"/>
        </w:rPr>
      </w:pPr>
      <w:r>
        <w:rPr>
          <w:rStyle w:val="a6"/>
          <w:rFonts w:ascii="Times New Roman" w:hAnsi="Times New Roman"/>
          <w:color w:val="000000"/>
          <w:sz w:val="28"/>
          <w:szCs w:val="28"/>
        </w:rPr>
        <w:t>- сельским поселениям,  за счет собственных средств областного бюджета.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Жирновский муниципальный район с 2018 года принимает участие в региональном проекте </w:t>
      </w:r>
      <w:r>
        <w:rPr>
          <w:rFonts w:ascii="Times New Roman" w:hAnsi="Times New Roman"/>
          <w:sz w:val="28"/>
          <w:szCs w:val="28"/>
        </w:rPr>
        <w:t>«Формирование комфортной городской среды».</w:t>
      </w:r>
      <w:r>
        <w:rPr>
          <w:rFonts w:ascii="Times New Roman" w:hAnsi="Times New Roman"/>
          <w:sz w:val="28"/>
          <w:szCs w:val="28"/>
        </w:rPr>
        <w:t xml:space="preserve"> В текущем периоде, также как и в предыдущие периоды, у</w:t>
      </w:r>
      <w:r>
        <w:rPr>
          <w:rFonts w:ascii="Times New Roman" w:hAnsi="Times New Roman"/>
          <w:sz w:val="28"/>
          <w:szCs w:val="28"/>
        </w:rPr>
        <w:t>казанный проект реализуется на территориях муниципальных образований Жирно</w:t>
      </w:r>
      <w:r>
        <w:rPr>
          <w:rFonts w:ascii="Times New Roman" w:hAnsi="Times New Roman"/>
          <w:sz w:val="28"/>
          <w:szCs w:val="28"/>
        </w:rPr>
        <w:t>вского муниципального района посредством принятия муниципальных программ.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предоставляются в части реализации мероприятий по: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благоустройству общественных территорий;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благоустройству дворовых территорий.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В рамках программ на территории Жирно</w:t>
      </w:r>
      <w:r>
        <w:rPr>
          <w:rFonts w:ascii="Times New Roman" w:hAnsi="Times New Roman"/>
          <w:sz w:val="28"/>
          <w:szCs w:val="28"/>
        </w:rPr>
        <w:t>вского муниципального района проводятся мероприятия по благоустройству общественных территорий</w:t>
      </w:r>
      <w:r>
        <w:rPr>
          <w:rFonts w:ascii="Times New Roman" w:hAnsi="Times New Roman"/>
          <w:b/>
          <w:bCs/>
          <w:sz w:val="28"/>
          <w:szCs w:val="28"/>
        </w:rPr>
        <w:t>. На слайдах представлена информация в отдельности по муниципальным образованиям.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(Слайд 4) </w:t>
      </w:r>
      <w:r>
        <w:rPr>
          <w:rFonts w:ascii="Times New Roman" w:hAnsi="Times New Roman"/>
          <w:sz w:val="28"/>
          <w:szCs w:val="28"/>
        </w:rPr>
        <w:t>Всего за период 2019-2020 годов благоустроено 13 общественных территор</w:t>
      </w:r>
      <w:r>
        <w:rPr>
          <w:rFonts w:ascii="Times New Roman" w:hAnsi="Times New Roman"/>
          <w:sz w:val="28"/>
          <w:szCs w:val="28"/>
        </w:rPr>
        <w:t xml:space="preserve">ий (9 — сельские поселения, 4 объекта г.Жирновск), в 2021 году продолжаются работы по благоустройству 2-х общественных территорий (г.Жирновск). </w:t>
      </w:r>
      <w:r>
        <w:rPr>
          <w:rFonts w:ascii="Times New Roman" w:hAnsi="Times New Roman"/>
          <w:b/>
          <w:bCs/>
          <w:sz w:val="28"/>
          <w:szCs w:val="28"/>
        </w:rPr>
        <w:t>(Слайд 5)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2019-2020гг. на реализацию данных мероприятий направлено 51 429,5 тыс.руб., из которых 93,6% средст</w:t>
      </w:r>
      <w:r>
        <w:rPr>
          <w:rFonts w:ascii="Times New Roman" w:hAnsi="Times New Roman"/>
          <w:sz w:val="28"/>
          <w:szCs w:val="28"/>
        </w:rPr>
        <w:t xml:space="preserve">ва областного бюджета. </w:t>
      </w:r>
      <w:r>
        <w:rPr>
          <w:rFonts w:ascii="Times New Roman" w:hAnsi="Times New Roman"/>
          <w:b/>
          <w:bCs/>
          <w:sz w:val="28"/>
          <w:szCs w:val="28"/>
        </w:rPr>
        <w:t>(Слайд 6)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предусмотрено на реализацию проекта 5 587,3 тыс.руб., из которых 94% средства областного бюджета.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году, в условиях распространения коронавирусной инфекции, реализация мероприятий по всем муниципальным </w:t>
      </w:r>
      <w:r>
        <w:rPr>
          <w:rFonts w:ascii="Times New Roman" w:hAnsi="Times New Roman"/>
          <w:sz w:val="28"/>
          <w:szCs w:val="28"/>
        </w:rPr>
        <w:t>контрактам была продлена на 1 мес., что не повлияло на возможность подрядчика выполнить свои обязательства надлежащим образом. Так, по результатам проведенного контрольного мероприятия по всем муниципальным образованиям мероприятия исполнены с отклонениями</w:t>
      </w:r>
      <w:r>
        <w:rPr>
          <w:rFonts w:ascii="Times New Roman" w:hAnsi="Times New Roman"/>
          <w:sz w:val="28"/>
          <w:szCs w:val="28"/>
        </w:rPr>
        <w:t>, и с нарушениями действующего законодательства.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3.</w:t>
      </w:r>
      <w:r>
        <w:rPr>
          <w:rFonts w:ascii="Times New Roman" w:hAnsi="Times New Roman"/>
          <w:i/>
          <w:iCs/>
          <w:sz w:val="28"/>
          <w:szCs w:val="28"/>
        </w:rPr>
        <w:t xml:space="preserve"> Этапы контроля за реализацией регионального проекта на местном уровне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(Слайд 7) </w:t>
      </w:r>
      <w:r>
        <w:rPr>
          <w:rFonts w:ascii="Times New Roman" w:hAnsi="Times New Roman"/>
          <w:sz w:val="28"/>
          <w:szCs w:val="28"/>
        </w:rPr>
        <w:t>Реализация регионального проекта на местном уровне отслеживается КСП в рамках проведения предварительного и последующего к</w:t>
      </w:r>
      <w:r>
        <w:rPr>
          <w:rFonts w:ascii="Times New Roman" w:hAnsi="Times New Roman"/>
          <w:sz w:val="28"/>
          <w:szCs w:val="28"/>
        </w:rPr>
        <w:t>онтроля. Как уже было сказано реализация проекта осуществляется посредством принятия муниципальных программ.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i/>
          <w:iCs/>
          <w:sz w:val="28"/>
          <w:szCs w:val="28"/>
          <w:shd w:val="clear" w:color="auto" w:fill="FFFF00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</w:rPr>
        <w:t>При проведении экспертизы муниципальных программ</w:t>
      </w:r>
      <w:r>
        <w:rPr>
          <w:rFonts w:ascii="Times New Roman" w:hAnsi="Times New Roman"/>
          <w:sz w:val="28"/>
          <w:szCs w:val="28"/>
        </w:rPr>
        <w:t xml:space="preserve"> анализируется соответствие целей и показателей мероприятий программы с региональным проектом. Оц</w:t>
      </w:r>
      <w:r>
        <w:rPr>
          <w:rFonts w:ascii="Times New Roman" w:hAnsi="Times New Roman"/>
          <w:sz w:val="28"/>
          <w:szCs w:val="28"/>
        </w:rPr>
        <w:t xml:space="preserve">енивается соответствие программы стратегии социально-экономического развития муниципального образования (района). По предложению Палаты скорректирован макет программ, вносятся корректировки в целевые показатели программ, учтены ответственные исполнители и </w:t>
      </w:r>
      <w:r>
        <w:rPr>
          <w:rFonts w:ascii="Times New Roman" w:hAnsi="Times New Roman"/>
          <w:sz w:val="28"/>
          <w:szCs w:val="28"/>
        </w:rPr>
        <w:t>соисполнители программ. Необходимо указать, что качество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i/>
          <w:iCs/>
          <w:sz w:val="28"/>
          <w:szCs w:val="28"/>
          <w:shd w:val="clear" w:color="auto" w:fill="FFFF00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</w:rPr>
        <w:t>При проведении экспертно-аналитических мероприятий,</w:t>
      </w:r>
      <w:r>
        <w:rPr>
          <w:rFonts w:ascii="Times New Roman" w:hAnsi="Times New Roman"/>
          <w:sz w:val="28"/>
          <w:szCs w:val="28"/>
        </w:rPr>
        <w:t xml:space="preserve"> к примеру проведение полугодового анализа исполнения бюджета, контролируется своевременность реализации программных мероприятий в рамках проекта.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i/>
          <w:iCs/>
          <w:sz w:val="28"/>
          <w:szCs w:val="28"/>
          <w:shd w:val="clear" w:color="auto" w:fill="FFFF00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</w:rPr>
        <w:t>Основной контроль средств в рамках нац.проектов проводится на этапе проведения контрольных мероприятий.</w:t>
      </w:r>
      <w:r>
        <w:rPr>
          <w:rFonts w:ascii="Times New Roman" w:hAnsi="Times New Roman"/>
          <w:sz w:val="28"/>
          <w:szCs w:val="28"/>
        </w:rPr>
        <w:t xml:space="preserve"> Зд</w:t>
      </w:r>
      <w:r>
        <w:rPr>
          <w:rFonts w:ascii="Times New Roman" w:hAnsi="Times New Roman"/>
          <w:sz w:val="28"/>
          <w:szCs w:val="28"/>
        </w:rPr>
        <w:t>есь отслеживается полнота, эффективность, законность расходования бюджетных средств.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Укажу, что предварительный контроль не проводится в поселениях, в связи с малочисленным составом КСП. Результат формирован ия муниципальных программ поселений проводится н</w:t>
      </w:r>
      <w:r>
        <w:rPr>
          <w:rFonts w:ascii="Times New Roman" w:hAnsi="Times New Roman"/>
          <w:sz w:val="28"/>
          <w:szCs w:val="28"/>
        </w:rPr>
        <w:t>а этапе последующего контроля.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4.</w:t>
      </w:r>
      <w:r>
        <w:rPr>
          <w:rFonts w:ascii="Times New Roman" w:hAnsi="Times New Roman"/>
          <w:i/>
          <w:iCs/>
          <w:sz w:val="28"/>
          <w:szCs w:val="28"/>
        </w:rPr>
        <w:t xml:space="preserve"> Теперь подробнее о результатах проведенного контрольного мероприятия в рамках исполнения нац.проекта.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(Слайд 8)</w:t>
      </w:r>
      <w:r>
        <w:rPr>
          <w:rFonts w:ascii="Times New Roman" w:hAnsi="Times New Roman"/>
          <w:sz w:val="28"/>
          <w:szCs w:val="28"/>
        </w:rPr>
        <w:t xml:space="preserve"> По результатам проверки бюджетных средств, направленных на реализацию мероприятий муниципальных программ по бл</w:t>
      </w:r>
      <w:r>
        <w:rPr>
          <w:rFonts w:ascii="Times New Roman" w:hAnsi="Times New Roman"/>
          <w:sz w:val="28"/>
          <w:szCs w:val="28"/>
        </w:rPr>
        <w:t>агоустройству общественных территорий в 2019-2020 годах, выявлено нарушений и недостатков :</w:t>
      </w:r>
      <w:r>
        <w:rPr>
          <w:rFonts w:ascii="Times New Roman" w:hAnsi="Times New Roman"/>
          <w:iCs/>
          <w:sz w:val="28"/>
          <w:szCs w:val="28"/>
        </w:rPr>
        <w:t xml:space="preserve"> на общую сумму 1 793,2 тыс.руб., из них: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неэффективное использование бюджетных средств 99,2 тыс.руб. (установка площадки-эстакады, </w:t>
      </w:r>
      <w:r>
        <w:rPr>
          <w:rFonts w:ascii="Times New Roman" w:hAnsi="Times New Roman"/>
          <w:iCs/>
          <w:sz w:val="28"/>
          <w:szCs w:val="28"/>
        </w:rPr>
        <w:t>приобретение плитки тротуарной</w:t>
      </w:r>
      <w:r>
        <w:rPr>
          <w:rFonts w:ascii="Times New Roman" w:hAnsi="Times New Roman"/>
          <w:iCs/>
          <w:sz w:val="28"/>
          <w:szCs w:val="28"/>
        </w:rPr>
        <w:t xml:space="preserve"> и газонного камня, которые не были установлены на момент выезда на объект</w:t>
      </w:r>
      <w:r>
        <w:rPr>
          <w:rFonts w:ascii="Times New Roman" w:hAnsi="Times New Roman"/>
          <w:iCs/>
          <w:sz w:val="28"/>
          <w:szCs w:val="28"/>
        </w:rPr>
        <w:t>);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при осуществлении муниципальных закупок 568,2 тыс.руб. в том числе: выполнения работ по установке оборудования не соответствующего сметной документации,  </w:t>
      </w:r>
      <w:r>
        <w:rPr>
          <w:rFonts w:ascii="Times New Roman" w:hAnsi="Times New Roman"/>
          <w:iCs/>
          <w:sz w:val="28"/>
          <w:szCs w:val="28"/>
        </w:rPr>
        <w:t>не предъявление требова</w:t>
      </w:r>
      <w:r>
        <w:rPr>
          <w:rFonts w:ascii="Times New Roman" w:hAnsi="Times New Roman"/>
          <w:iCs/>
          <w:sz w:val="28"/>
          <w:szCs w:val="28"/>
        </w:rPr>
        <w:t>ний об уплате неустойки за просрочку исполнения работ;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неправомерное использование бюджетных средств в части оплаты фактически невыполненных работ (постамент скульптурной композиции, установка бортового камня, невыполнение работ по виделнаблюдению) на су</w:t>
      </w:r>
      <w:r>
        <w:rPr>
          <w:rFonts w:ascii="Times New Roman" w:hAnsi="Times New Roman"/>
          <w:iCs/>
          <w:sz w:val="28"/>
          <w:szCs w:val="28"/>
        </w:rPr>
        <w:t>мму 1 067,8 тыс.руб.;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>нарушения в ходе формирования и исполнения бюджета составили в сумме 57,9 тыс.руб.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i/>
          <w:iCs/>
          <w:sz w:val="28"/>
          <w:szCs w:val="28"/>
        </w:rPr>
        <w:t xml:space="preserve">         Так же, </w:t>
      </w:r>
      <w:r>
        <w:rPr>
          <w:rStyle w:val="a6"/>
          <w:sz w:val="28"/>
          <w:szCs w:val="28"/>
        </w:rPr>
        <w:t>Заказчиками допущены нарушения:</w:t>
      </w:r>
    </w:p>
    <w:p w:rsidR="005246CF" w:rsidRDefault="00BB55BB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sz w:val="28"/>
          <w:szCs w:val="28"/>
        </w:rPr>
        <w:t>- предельных сроков заключения муниципальных контрактов на благоустройство территорий;</w:t>
      </w:r>
    </w:p>
    <w:p w:rsidR="005246CF" w:rsidRDefault="00BB55BB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>сроков раз</w:t>
      </w:r>
      <w:r>
        <w:rPr>
          <w:rFonts w:ascii="Times New Roman" w:hAnsi="Times New Roman"/>
          <w:iCs/>
          <w:sz w:val="28"/>
          <w:szCs w:val="28"/>
        </w:rPr>
        <w:t>мещения в реестре контрактов информации (сведений) об изменении контракта, информации по его исполнению, приемке поставленного товара, выполненной работы, оказанной услуги (ч.2, ч.3 ст.103 Закона №44-ФЗ).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Кроме указанных выше нарушений и недостатков,</w:t>
      </w:r>
      <w:r>
        <w:rPr>
          <w:rFonts w:ascii="Times New Roman" w:hAnsi="Times New Roman"/>
          <w:iCs/>
          <w:sz w:val="28"/>
          <w:szCs w:val="28"/>
        </w:rPr>
        <w:t xml:space="preserve"> котор</w:t>
      </w:r>
      <w:r>
        <w:rPr>
          <w:rFonts w:ascii="Times New Roman" w:hAnsi="Times New Roman"/>
          <w:iCs/>
          <w:sz w:val="28"/>
          <w:szCs w:val="28"/>
        </w:rPr>
        <w:t>ые являются типичными при проведении проверок такого рода, установлена также системная проблема: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бухгалтерский учет объектов основных средств в количественном выражении не соответствует исполнительной документации;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не осуществляется планировка и </w:t>
      </w:r>
      <w:r>
        <w:rPr>
          <w:rFonts w:ascii="Times New Roman" w:hAnsi="Times New Roman"/>
          <w:iCs/>
          <w:sz w:val="28"/>
          <w:szCs w:val="28"/>
        </w:rPr>
        <w:t>межевание земельных участков, которые расположены на территориях общего пользования.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некачественное содержание объектов благоустройства в дальнейшем.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не своевременное размещение информации в сети Интернет, в связи с отсутствием определенных умений и зн</w:t>
      </w:r>
      <w:r>
        <w:rPr>
          <w:rFonts w:ascii="Times New Roman" w:hAnsi="Times New Roman"/>
          <w:iCs/>
          <w:sz w:val="28"/>
          <w:szCs w:val="28"/>
        </w:rPr>
        <w:t>аний у работников администраций муниципальных образований.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 примеру: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(Слайд 9)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Проектной документацией в рамках благоустройства территории предусмотрено установка площадки-эстакады. При выезде на объект установлено, что монтировано только 13 бетонных блоков. Завершение работ предусматривалось во второй очереди благоустройства террит</w:t>
      </w:r>
      <w:r>
        <w:rPr>
          <w:rStyle w:val="a6"/>
          <w:sz w:val="28"/>
          <w:szCs w:val="28"/>
        </w:rPr>
        <w:t xml:space="preserve">ории парковой зоны. Проверкой установлено, что бюджетные ассигнования на завершение работ по объекту площадка-эстакада на 2020-2021 годы не предусмотрены. Следовательно, работы по завершению строительства объекта не планируются в ближайшее время, </w:t>
      </w:r>
      <w:r>
        <w:rPr>
          <w:rStyle w:val="a6"/>
          <w:sz w:val="28"/>
          <w:szCs w:val="28"/>
        </w:rPr>
        <w:lastRenderedPageBreak/>
        <w:t>цель не б</w:t>
      </w:r>
      <w:r>
        <w:rPr>
          <w:rStyle w:val="a6"/>
          <w:sz w:val="28"/>
          <w:szCs w:val="28"/>
        </w:rPr>
        <w:t xml:space="preserve">удет достигнута. В результате  средства бюджета использованы </w:t>
      </w:r>
      <w:r>
        <w:rPr>
          <w:rStyle w:val="a6"/>
          <w:i/>
          <w:iCs/>
          <w:sz w:val="28"/>
          <w:szCs w:val="28"/>
        </w:rPr>
        <w:t>неэффективно.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eastAsia="Calibri"/>
          <w:i/>
          <w:iCs/>
          <w:color w:val="000000"/>
          <w:sz w:val="28"/>
          <w:szCs w:val="28"/>
          <w:lang w:eastAsia="en-US"/>
        </w:rPr>
        <w:t>В ходе выборочного контрольного обмера выполненных работ выявлены дефекты</w:t>
      </w:r>
      <w:r>
        <w:rPr>
          <w:rStyle w:val="a6"/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 xml:space="preserve"> (Слайд 10) </w:t>
      </w:r>
      <w:r>
        <w:rPr>
          <w:rStyle w:val="a6"/>
          <w:rFonts w:eastAsia="Calibri"/>
          <w:color w:val="000000"/>
          <w:sz w:val="28"/>
          <w:szCs w:val="28"/>
          <w:lang w:eastAsia="en-US"/>
        </w:rPr>
        <w:t>установленных малых архитектурных форм: (сколы, потертости, трещины, отслоение и вздутие окраше</w:t>
      </w:r>
      <w:r>
        <w:rPr>
          <w:rStyle w:val="a6"/>
          <w:rFonts w:eastAsia="Calibri"/>
          <w:color w:val="000000"/>
          <w:sz w:val="28"/>
          <w:szCs w:val="28"/>
          <w:lang w:eastAsia="en-US"/>
        </w:rPr>
        <w:t>нного слоя, ржавчина, отсутствие заглушек, креплений): уличного спортивного оборудования, детских игровых комплексов, изделий из бетона (цветочница, скамейки), металлических конструкций (арки входные, ограждения), беседок, урн, скульптур; не работает систе</w:t>
      </w:r>
      <w:r>
        <w:rPr>
          <w:rStyle w:val="a6"/>
          <w:rFonts w:eastAsia="Calibri"/>
          <w:color w:val="000000"/>
          <w:sz w:val="28"/>
          <w:szCs w:val="28"/>
          <w:lang w:eastAsia="en-US"/>
        </w:rPr>
        <w:t>ма видеонаблюдения. Установлены факты вандализма, в следствии которых были повреждены установленные объекты малых архитектурных форм.</w:t>
      </w:r>
    </w:p>
    <w:p w:rsidR="005246CF" w:rsidRDefault="00BB55BB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eastAsia="Calibri"/>
          <w:color w:val="000000"/>
          <w:sz w:val="28"/>
          <w:szCs w:val="28"/>
          <w:lang w:eastAsia="en-US"/>
        </w:rPr>
        <w:t xml:space="preserve">Своевременное не устранение указанных дефектов приводит к сокращению срока использования объектов благоустройства, </w:t>
      </w:r>
      <w:r>
        <w:rPr>
          <w:rStyle w:val="a6"/>
          <w:rFonts w:eastAsia="Calibri"/>
          <w:color w:val="000000"/>
          <w:sz w:val="28"/>
          <w:szCs w:val="28"/>
          <w:lang w:eastAsia="en-US"/>
        </w:rPr>
        <w:t>ухудшению комфорта и эстетического облика территории.</w:t>
      </w:r>
    </w:p>
    <w:p w:rsidR="005246CF" w:rsidRDefault="00BB55BB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i/>
          <w:iCs/>
          <w:sz w:val="28"/>
          <w:szCs w:val="28"/>
        </w:rPr>
        <w:t>По итогам реагирования на представления КСП:</w:t>
      </w:r>
    </w:p>
    <w:p w:rsidR="005246CF" w:rsidRDefault="00BB55BB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Подрядчиками устранены дефекты: восстановлена работа системы видеонаблюдения, устранены дефекты окрасочного слоя скульптур, металлических конструкций, д</w:t>
      </w:r>
      <w:r>
        <w:rPr>
          <w:rFonts w:ascii="Times New Roman" w:hAnsi="Times New Roman"/>
          <w:sz w:val="28"/>
          <w:szCs w:val="28"/>
        </w:rPr>
        <w:t>еревянных изделий.</w:t>
      </w:r>
    </w:p>
    <w:p w:rsidR="005246CF" w:rsidRDefault="00BB55BB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довыполнены работы, оплата по которым была произведена;</w:t>
      </w:r>
    </w:p>
    <w:p w:rsidR="005246CF" w:rsidRDefault="00BB55BB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взыскано неустойки с Подрядчика в сумме 45,9 тыс.руб;</w:t>
      </w:r>
    </w:p>
    <w:p w:rsidR="005246CF" w:rsidRDefault="00BB55BB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проводится работа по профилактике вандализма (размещение инфо в СМИ, размещение табличек в парках).</w:t>
      </w:r>
    </w:p>
    <w:p w:rsidR="005246CF" w:rsidRDefault="00BB55BB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Заказчиками проводитс</w:t>
      </w:r>
      <w:r>
        <w:rPr>
          <w:rFonts w:ascii="Times New Roman" w:hAnsi="Times New Roman"/>
          <w:sz w:val="28"/>
          <w:szCs w:val="28"/>
        </w:rPr>
        <w:t>я активная работа с Подрядчиками по устранению дефектов как до подписания актов выполненных работ, так и в рамках исполнения гарантийных обязательств.</w:t>
      </w:r>
    </w:p>
    <w:p w:rsidR="005246CF" w:rsidRDefault="00BB55BB">
      <w:pPr>
        <w:pStyle w:val="Standard"/>
        <w:ind w:firstLine="737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6. Резюмирую.</w:t>
      </w:r>
    </w:p>
    <w:p w:rsidR="005246CF" w:rsidRDefault="00BB55BB">
      <w:pPr>
        <w:pStyle w:val="Standard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благоприятной среды для населения является одной из главных целей градостроительно</w:t>
      </w:r>
      <w:r>
        <w:rPr>
          <w:rFonts w:ascii="Times New Roman" w:hAnsi="Times New Roman"/>
          <w:sz w:val="28"/>
          <w:szCs w:val="28"/>
        </w:rPr>
        <w:t>й политики, которая осуществляется органами государственной власти и местного самоуправления при их эффективном взаимодействии.</w:t>
      </w:r>
    </w:p>
    <w:p w:rsidR="005246CF" w:rsidRDefault="00BB55BB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Поддержание высокого уровня благоустройства напрямую зависит и от самих граждан, от степени их сознательности, желания и возможн</w:t>
      </w:r>
      <w:r>
        <w:rPr>
          <w:rFonts w:ascii="Times New Roman" w:hAnsi="Times New Roman"/>
          <w:sz w:val="28"/>
          <w:szCs w:val="28"/>
        </w:rPr>
        <w:t>ости помогать органам местного самоуправления.</w:t>
      </w:r>
    </w:p>
    <w:p w:rsidR="005246CF" w:rsidRDefault="00BB55BB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трудности, основным результатом совместного сотрудничества должно стать обеспечение качественных и комфортных условий жизни населения и их развитие на территории каждого муниципального образования</w:t>
      </w:r>
      <w:r>
        <w:rPr>
          <w:rFonts w:ascii="Times New Roman" w:hAnsi="Times New Roman"/>
          <w:sz w:val="28"/>
          <w:szCs w:val="28"/>
        </w:rPr>
        <w:t>, улучшение окружающей среды, воспитание бережного отношения ко всему, что нас окружает.</w:t>
      </w:r>
    </w:p>
    <w:p w:rsidR="005246CF" w:rsidRDefault="005246C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5246CF" w:rsidRDefault="005246C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sectPr w:rsidR="005246CF">
      <w:headerReference w:type="default" r:id="rId6"/>
      <w:pgSz w:w="11906" w:h="16838"/>
      <w:pgMar w:top="907" w:right="850" w:bottom="850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5BB" w:rsidRDefault="00BB55BB">
      <w:pPr>
        <w:rPr>
          <w:rFonts w:hint="eastAsia"/>
        </w:rPr>
      </w:pPr>
      <w:r>
        <w:separator/>
      </w:r>
    </w:p>
  </w:endnote>
  <w:endnote w:type="continuationSeparator" w:id="0">
    <w:p w:rsidR="00BB55BB" w:rsidRDefault="00BB55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5BB" w:rsidRDefault="00BB55B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B55BB" w:rsidRDefault="00BB55B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F9" w:rsidRDefault="00BB55BB">
    <w:pPr>
      <w:pStyle w:val="a5"/>
      <w:jc w:val="center"/>
      <w:rPr>
        <w:rFonts w:hint="eastAsia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 w:rsidR="008E0617">
      <w:rPr>
        <w:rFonts w:hint="eastAsia"/>
        <w:noProof/>
      </w:rPr>
      <w:t>2</w:t>
    </w:r>
    <w:r>
      <w:fldChar w:fldCharType="end"/>
    </w:r>
  </w:p>
  <w:p w:rsidR="000120F9" w:rsidRDefault="00BB55BB">
    <w:pPr>
      <w:pStyle w:val="a5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246CF"/>
    <w:rsid w:val="005246CF"/>
    <w:rsid w:val="008E0617"/>
    <w:rsid w:val="00BB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E432D-F60E-4C47-B341-615118A8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firstLine="567"/>
    </w:pPr>
    <w:rPr>
      <w:szCs w:val="20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HeaderandFooter"/>
  </w:style>
  <w:style w:type="paragraph" w:customStyle="1" w:styleId="Framecontents">
    <w:name w:val="Frame contents"/>
    <w:basedOn w:val="Textbody"/>
  </w:style>
  <w:style w:type="character" w:customStyle="1" w:styleId="a6">
    <w:name w:val="Основной текст_"/>
    <w:rPr>
      <w:sz w:val="26"/>
      <w:szCs w:val="26"/>
      <w:lang w:bidi="ar-SA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b/>
      <w:bCs/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F657EF3D518E44B267BC4434AF38A7" ma:contentTypeVersion="0" ma:contentTypeDescription="Создание документа." ma:contentTypeScope="" ma:versionID="4e00e0ee330246ccc5eaf4d30fa1fe7b">
  <xsd:schema xmlns:xsd="http://www.w3.org/2001/XMLSchema" xmlns:xs="http://www.w3.org/2001/XMLSchema" xmlns:p="http://schemas.microsoft.com/office/2006/metadata/properties" xmlns:ns2="B20E8D38-9397-417F-B6AD-D115B7EB0760" targetNamespace="http://schemas.microsoft.com/office/2006/metadata/properties" ma:root="true" ma:fieldsID="588791eb850edb71a957d97ea9b30050" ns2:_="">
    <xsd:import namespace="B20E8D38-9397-417F-B6AD-D115B7EB0760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E8D38-9397-417F-B6AD-D115B7EB0760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B20E8D38-9397-417F-B6AD-D115B7EB0760">Доклад председателя Контрольно-счетной палаты Жирновского муниципального района Журбиной Светланы Николаевны</FullName>
    <DocDate xmlns="B20E8D38-9397-417F-B6AD-D115B7EB0760">2021-08-19T21:00:00+00:00</DocDate>
    <DocNum xmlns="B20E8D38-9397-417F-B6AD-D115B7EB0760" xsi:nil="true"/>
  </documentManagement>
</p:properties>
</file>

<file path=customXml/itemProps1.xml><?xml version="1.0" encoding="utf-8"?>
<ds:datastoreItem xmlns:ds="http://schemas.openxmlformats.org/officeDocument/2006/customXml" ds:itemID="{01FA31D8-38F6-4C20-A1FF-D399BC8FC6D0}"/>
</file>

<file path=customXml/itemProps2.xml><?xml version="1.0" encoding="utf-8"?>
<ds:datastoreItem xmlns:ds="http://schemas.openxmlformats.org/officeDocument/2006/customXml" ds:itemID="{11247114-1C92-4AD2-BD87-DBE0328B7EF3}"/>
</file>

<file path=customXml/itemProps3.xml><?xml version="1.0" encoding="utf-8"?>
<ds:datastoreItem xmlns:ds="http://schemas.openxmlformats.org/officeDocument/2006/customXml" ds:itemID="{9B2CD999-843D-4930-AFDB-E8B1BA2D82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Благоустройство территорий как фактор современного развития городов</vt:lpstr>
    </vt:vector>
  </TitlesOfParts>
  <Company/>
  <LinksUpToDate>false</LinksUpToDate>
  <CharactersWithSpaces>10395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Благоустройство территорий как фактор современного развития городов</dc:title>
  <dc:creator>Михайлова Н. А.</dc:creator>
  <cp:lastModifiedBy>Литвинов Андрей</cp:lastModifiedBy>
  <cp:revision>2</cp:revision>
  <cp:lastPrinted>2021-08-12T16:20:00Z</cp:lastPrinted>
  <dcterms:created xsi:type="dcterms:W3CDTF">2021-08-27T08:49:00Z</dcterms:created>
  <dcterms:modified xsi:type="dcterms:W3CDTF">2021-08-27T08:49:00Z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4021.00.29</vt:lpwstr>
  </property>
  <property fmtid="{D5CDD505-2E9C-101B-9397-08002B2CF9AE}" pid="3" name="ContentTypeId">
    <vt:lpwstr>0x010100B9F657EF3D518E44B267BC4434AF38A7</vt:lpwstr>
  </property>
</Properties>
</file>